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913765" cy="69342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693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                                      Date de création : 2012/11/19, annexe aux statuts :</w:t>
      </w:r>
    </w:p>
    <w:p w:rsidR="00000000" w:rsidDel="00000000" w:rsidP="00000000" w:rsidRDefault="00000000" w:rsidRPr="00000000" w14:paraId="00000003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nton" w:cs="Anton" w:eastAsia="Anton" w:hAnsi="Anton"/>
          <w:sz w:val="16"/>
          <w:szCs w:val="16"/>
          <w:vertAlign w:val="baseline"/>
          <w:rtl w:val="0"/>
        </w:rPr>
        <w:t xml:space="preserve">Botanique et Mycologie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Règlement intérieur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contextualSpacing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I  Frais de déplacement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a) Les membres chargés de certaines fonctions et qui sont amenés à se déplacer pour la préparation des Sorties et des Week-end, pour chacun il est utile de prévoir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Une indemnité kilométrique de 25 centimes du Km. *Elle pourra être révisable.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Un remboursement de frais de péage avec fourniture du ticket.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Un remboursement de frais de repas sur présentation de la facture, maximum 15 €.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-     Une note de frais accompagnée des justificatifs et transmis ensuite à la Trésorière pour règlement.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05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*Etabli lors de l’AGE du 17 octobre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 xml:space="preserve">*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b) Pour les Assemblées Générales de la FMBDS, seul le prix du repas sera pris en compte.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contextualSpacing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II  Frais de Stage FMBDS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Certains membres suivent les stages que la fédération nous propose.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Ils peuvent être pris en charge à 50 % sous conditions de faire partager les connaissances acquises auprès des Adhérents, après avis favorable du Président et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ou des Vice-Présidents.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 xml:space="preserve">*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Pourra être réajusté. Etabli par le Conseil d’administration du 19 décembre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Aucune remarques ni réprobations ni questions après lecture plénière lors de l’AG du 07/01/2013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lll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 Adhésions aux bulletins FMBDS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 : Afin de ne pas dépasser 25 bulletins, sinon il faudra augmenter les cotisations des adhérents.  Sachant que pour participer à un stage de la fédération, il faut être destinataire du bulletin. La décision a été prise au CA du 11 décembre 2013, afin de permettre au plus grand nombre de suivre ces stages de ne les inscrire que pour un an.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Toutefois, ce bulletin pourra être consulté ou emprunté à la bibliothèque.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Adopté à l’unanimité des présents lors de l’AG du 11/01/2014.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lV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 DIU de mycologie environnementale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 : Notre société pourrait participer en complément de celle de la fédération, mais toutefois pour éviter un non retour sur investissement, un engagement à ce ou ces candidats de rester dans notre groupe pour assurer la fonction pour une période de 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deux fois trois ans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En cas de désistement, les personnes s’engagent à rembourser les sommes avancées par l’association.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La décision a été prise au CA du 03 octobre 2013. Adopté à l’unanimité des présents lors de l’AG du 11/01/2014.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81" w:top="360" w:left="284" w:right="11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Anton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